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26D04CDD"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BD1ADE">
        <w:rPr>
          <w:rFonts w:ascii="AvenirNext LT Pro Regular" w:hAnsi="AvenirNext LT Pro Regular"/>
        </w:rPr>
        <w:t>Februar</w:t>
      </w:r>
      <w:r w:rsidRPr="00903904">
        <w:rPr>
          <w:rFonts w:ascii="AvenirNext LT Pro Regular" w:hAnsi="AvenirNext LT Pro Regular"/>
        </w:rPr>
        <w:t xml:space="preserve"> 201</w:t>
      </w:r>
      <w:r w:rsidR="00BD1ADE">
        <w:rPr>
          <w:rFonts w:ascii="AvenirNext LT Pro Regular" w:hAnsi="AvenirNext LT Pro Regular"/>
        </w:rPr>
        <w:t>8</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6D02C92D" w14:textId="25D99C9E" w:rsidR="00BD1ADE" w:rsidRPr="00E32CA7" w:rsidRDefault="00E16693" w:rsidP="006F124B">
      <w:pPr>
        <w:rPr>
          <w:rFonts w:ascii="AvenirNext LT Pro Regular" w:hAnsi="AvenirNext LT Pro Regular" w:cs="Arial"/>
          <w:bCs/>
          <w:sz w:val="34"/>
          <w:szCs w:val="34"/>
        </w:rPr>
      </w:pPr>
      <w:r w:rsidRPr="00E16693">
        <w:rPr>
          <w:rFonts w:ascii="AvenirNext LT Pro Regular" w:hAnsi="AvenirNext LT Pro Regular" w:cs="Arial"/>
          <w:b/>
          <w:sz w:val="48"/>
          <w:szCs w:val="48"/>
        </w:rPr>
        <w:t xml:space="preserve">Moritz Grossmann erhält das Patent für die Minutenanzeige im BENU </w:t>
      </w:r>
      <w:proofErr w:type="spellStart"/>
      <w:r w:rsidRPr="00E16693">
        <w:rPr>
          <w:rFonts w:ascii="AvenirNext LT Pro Regular" w:hAnsi="AvenirNext LT Pro Regular" w:cs="Arial"/>
          <w:b/>
          <w:sz w:val="48"/>
          <w:szCs w:val="48"/>
        </w:rPr>
        <w:t>Tourbillon</w:t>
      </w:r>
      <w:proofErr w:type="spellEnd"/>
    </w:p>
    <w:p w14:paraId="21F0B7B6" w14:textId="77777777" w:rsidR="00653CF4" w:rsidRDefault="00653CF4" w:rsidP="00F677A4">
      <w:pPr>
        <w:jc w:val="both"/>
        <w:rPr>
          <w:rFonts w:ascii="AvenirNext LT Pro Regular" w:hAnsi="AvenirNext LT Pro Regular"/>
        </w:rPr>
      </w:pPr>
    </w:p>
    <w:p w14:paraId="616F9C79" w14:textId="77777777" w:rsidR="00E16693" w:rsidRPr="00E16693" w:rsidRDefault="00E16693" w:rsidP="00E16693">
      <w:pPr>
        <w:jc w:val="both"/>
        <w:rPr>
          <w:rFonts w:ascii="AvenirNext LT Pro Regular" w:hAnsi="AvenirNext LT Pro Regular"/>
        </w:rPr>
      </w:pPr>
      <w:r w:rsidRPr="00E16693">
        <w:rPr>
          <w:rFonts w:ascii="AvenirNext LT Pro Regular" w:hAnsi="AvenirNext LT Pro Regular"/>
        </w:rPr>
        <w:t xml:space="preserve">In dem 2013 präsentierten BENU </w:t>
      </w:r>
      <w:proofErr w:type="spellStart"/>
      <w:r w:rsidRPr="00E16693">
        <w:rPr>
          <w:rFonts w:ascii="AvenirNext LT Pro Regular" w:hAnsi="AvenirNext LT Pro Regular"/>
        </w:rPr>
        <w:t>Tourbillon</w:t>
      </w:r>
      <w:proofErr w:type="spellEnd"/>
      <w:r w:rsidRPr="00E16693">
        <w:rPr>
          <w:rFonts w:ascii="AvenirNext LT Pro Regular" w:hAnsi="AvenirNext LT Pro Regular"/>
        </w:rPr>
        <w:t xml:space="preserve"> mit fliegend gelagertem Drei-Minuten-</w:t>
      </w:r>
      <w:proofErr w:type="spellStart"/>
      <w:r w:rsidRPr="00E16693">
        <w:rPr>
          <w:rFonts w:ascii="AvenirNext LT Pro Regular" w:hAnsi="AvenirNext LT Pro Regular"/>
        </w:rPr>
        <w:t>Tourbillon</w:t>
      </w:r>
      <w:proofErr w:type="spellEnd"/>
      <w:r w:rsidRPr="00E16693">
        <w:rPr>
          <w:rFonts w:ascii="AvenirNext LT Pro Regular" w:hAnsi="AvenirNext LT Pro Regular"/>
        </w:rPr>
        <w:t xml:space="preserve"> stecken mehrere Entwicklungen der </w:t>
      </w:r>
      <w:proofErr w:type="spellStart"/>
      <w:r w:rsidRPr="00E16693">
        <w:rPr>
          <w:rFonts w:ascii="AvenirNext LT Pro Regular" w:hAnsi="AvenirNext LT Pro Regular"/>
        </w:rPr>
        <w:t>Grossmann’schen</w:t>
      </w:r>
      <w:proofErr w:type="spellEnd"/>
      <w:r w:rsidRPr="00E16693">
        <w:rPr>
          <w:rFonts w:ascii="AvenirNext LT Pro Regular" w:hAnsi="AvenirNext LT Pro Regular"/>
        </w:rPr>
        <w:t xml:space="preserve"> Uhrmacher, die zum Gebrauchsmuster beziehungsweise zum Patent angemeldet wurden: die V-förmige Gestaltung der Unruhbrücke (zum Gebrauchsmuster angemeldet), der Sekundenstopp mit Haarpinsel (zum Patent angemeldet), die doppelte Minutenanzeige (zum Patent angemeldet). </w:t>
      </w:r>
    </w:p>
    <w:p w14:paraId="11D2B390" w14:textId="77777777" w:rsidR="00E16693" w:rsidRPr="00E16693" w:rsidRDefault="00E16693" w:rsidP="00E16693">
      <w:pPr>
        <w:jc w:val="both"/>
        <w:rPr>
          <w:rFonts w:ascii="AvenirNext LT Pro Regular" w:hAnsi="AvenirNext LT Pro Regular"/>
        </w:rPr>
      </w:pPr>
    </w:p>
    <w:p w14:paraId="35220CEE" w14:textId="5B3F5A7A" w:rsidR="00880069" w:rsidRDefault="00E16693" w:rsidP="00E16693">
      <w:pPr>
        <w:jc w:val="both"/>
        <w:rPr>
          <w:rFonts w:ascii="AvenirNext LT Pro Regular" w:hAnsi="AvenirNext LT Pro Regular"/>
        </w:rPr>
      </w:pPr>
      <w:r w:rsidRPr="00E16693">
        <w:rPr>
          <w:rFonts w:ascii="AvenirNext LT Pro Regular" w:hAnsi="AvenirNext LT Pro Regular"/>
        </w:rPr>
        <w:t xml:space="preserve">Im Januar 2018 wird für die doppelte Minutenanzeige als erste der Neuentwicklungen das europäische Patent mit der Nr. 2874021 erteilt. Um für die BENU einen besonders großen </w:t>
      </w:r>
      <w:proofErr w:type="spellStart"/>
      <w:r w:rsidRPr="00E16693">
        <w:rPr>
          <w:rFonts w:ascii="AvenirNext LT Pro Regular" w:hAnsi="AvenirNext LT Pro Regular"/>
        </w:rPr>
        <w:t>Tourbillon</w:t>
      </w:r>
      <w:proofErr w:type="spellEnd"/>
      <w:r w:rsidRPr="00E16693">
        <w:rPr>
          <w:rFonts w:ascii="AvenirNext LT Pro Regular" w:hAnsi="AvenirNext LT Pro Regular"/>
        </w:rPr>
        <w:t xml:space="preserve"> und einen entsprechend großen </w:t>
      </w:r>
      <w:proofErr w:type="spellStart"/>
      <w:r w:rsidRPr="00E16693">
        <w:rPr>
          <w:rFonts w:ascii="AvenirNext LT Pro Regular" w:hAnsi="AvenirNext LT Pro Regular"/>
        </w:rPr>
        <w:t>Tourbillon</w:t>
      </w:r>
      <w:proofErr w:type="spellEnd"/>
      <w:r w:rsidRPr="00E16693">
        <w:rPr>
          <w:rFonts w:ascii="AvenirNext LT Pro Regular" w:hAnsi="AvenirNext LT Pro Regular"/>
        </w:rPr>
        <w:t xml:space="preserve">-Ausschnitt im Zifferblatt realisieren zu können, erfolgt die zentrale Minutenanzeige über zwei Skalen. Die außenliegende Skala ist für den </w:t>
      </w:r>
      <w:proofErr w:type="spellStart"/>
      <w:r w:rsidRPr="00E16693">
        <w:rPr>
          <w:rFonts w:ascii="AvenirNext LT Pro Regular" w:hAnsi="AvenirNext LT Pro Regular"/>
        </w:rPr>
        <w:t>Tourbillon</w:t>
      </w:r>
      <w:proofErr w:type="spellEnd"/>
      <w:r w:rsidRPr="00E16693">
        <w:rPr>
          <w:rFonts w:ascii="AvenirNext LT Pro Regular" w:hAnsi="AvenirNext LT Pro Regular"/>
        </w:rPr>
        <w:t xml:space="preserve">-Ausschnitt im Bereich von 25 bis 35 Minuten unterbrochen und dieser auf einer gegenüberliegenden Skale ergänzt. Läuft der Minutenzeiger in den Ausschnitt des </w:t>
      </w:r>
      <w:proofErr w:type="spellStart"/>
      <w:r w:rsidRPr="00E16693">
        <w:rPr>
          <w:rFonts w:ascii="AvenirNext LT Pro Regular" w:hAnsi="AvenirNext LT Pro Regular"/>
        </w:rPr>
        <w:t>Tourbillons</w:t>
      </w:r>
      <w:proofErr w:type="spellEnd"/>
      <w:r w:rsidRPr="00E16693">
        <w:rPr>
          <w:rFonts w:ascii="AvenirNext LT Pro Regular" w:hAnsi="AvenirNext LT Pro Regular"/>
        </w:rPr>
        <w:t xml:space="preserve"> können so die ausgesparten zehn Minuten über den verlängerten Zeigerfortsatz exakt auf der zweiten Skale abgelesen werden. Eine so schöne wie ungewöhnliche Lösung, die dem Anspruch vollkommener Präzision gerecht wird.</w:t>
      </w:r>
    </w:p>
    <w:p w14:paraId="287ED8E2" w14:textId="77777777" w:rsidR="00E16693" w:rsidRDefault="00E16693" w:rsidP="00E16693">
      <w:pPr>
        <w:jc w:val="both"/>
        <w:rPr>
          <w:rFonts w:ascii="AvenirNext LT Pro Regular" w:hAnsi="AvenirNext LT Pro Regular"/>
        </w:rPr>
      </w:pPr>
    </w:p>
    <w:p w14:paraId="2553126C" w14:textId="77777777" w:rsidR="00E16693" w:rsidRDefault="00E16693" w:rsidP="00E16693">
      <w:pPr>
        <w:jc w:val="both"/>
        <w:rPr>
          <w:rFonts w:ascii="AvenirNext LT Pro Regular" w:hAnsi="AvenirNext LT Pro Regular"/>
        </w:rPr>
      </w:pPr>
    </w:p>
    <w:p w14:paraId="3A2FC9B2" w14:textId="77777777" w:rsidR="006F124B" w:rsidRDefault="006F124B" w:rsidP="006F124B">
      <w:pPr>
        <w:jc w:val="both"/>
        <w:rPr>
          <w:rFonts w:ascii="AvenirNext LT Pro Regular" w:hAnsi="AvenirNext LT Pro Regular"/>
          <w:b/>
          <w:i/>
          <w:sz w:val="14"/>
          <w:szCs w:val="14"/>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4805F2" w:rsidP="006F124B">
      <w:pPr>
        <w:jc w:val="both"/>
        <w:rPr>
          <w:rFonts w:ascii="AvenirNext LT Pro Regular" w:hAnsi="AvenirNext LT Pro Regular"/>
          <w:sz w:val="22"/>
          <w:szCs w:val="22"/>
        </w:rPr>
      </w:pPr>
      <w:hyperlink r:id="rId7"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7EF6752C" w14:textId="77777777" w:rsidR="00E16693" w:rsidRDefault="00E16693" w:rsidP="006F124B">
      <w:pPr>
        <w:jc w:val="both"/>
        <w:rPr>
          <w:rFonts w:ascii="AvenirNext LT Pro Regular" w:hAnsi="AvenirNext LT Pro Regular"/>
          <w:b/>
          <w:bCs/>
          <w:sz w:val="20"/>
          <w:szCs w:val="20"/>
        </w:rPr>
      </w:pPr>
    </w:p>
    <w:p w14:paraId="4FFA252D" w14:textId="77777777" w:rsidR="00E16693" w:rsidRDefault="00E16693" w:rsidP="006F124B">
      <w:pPr>
        <w:jc w:val="both"/>
        <w:rPr>
          <w:rFonts w:ascii="AvenirNext LT Pro Regular" w:hAnsi="AvenirNext LT Pro Regular"/>
          <w:b/>
          <w:bCs/>
          <w:sz w:val="20"/>
          <w:szCs w:val="20"/>
        </w:rPr>
      </w:pPr>
    </w:p>
    <w:p w14:paraId="4A71037E" w14:textId="77777777" w:rsidR="00E16693" w:rsidRDefault="00E16693" w:rsidP="006F124B">
      <w:pPr>
        <w:jc w:val="both"/>
        <w:rPr>
          <w:rFonts w:ascii="AvenirNext LT Pro Regular" w:hAnsi="AvenirNext LT Pro Regular"/>
          <w:b/>
          <w:bCs/>
          <w:sz w:val="20"/>
          <w:szCs w:val="20"/>
        </w:rPr>
      </w:pPr>
    </w:p>
    <w:p w14:paraId="4A45C3DF" w14:textId="77777777" w:rsidR="00E16693" w:rsidRDefault="00E16693"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lastRenderedPageBreak/>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1452BA48"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76429967" w14:textId="7F3C663C" w:rsidR="008E513C" w:rsidRDefault="008E513C" w:rsidP="00840FE9">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40A9472F"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Uferstr. 1</w:t>
      </w:r>
    </w:p>
    <w:p w14:paraId="391CA859"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01768 Glashütte</w:t>
      </w:r>
    </w:p>
    <w:p w14:paraId="1B7322BE"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2B08A6A5" w14:textId="77777777" w:rsidR="00840FE9" w:rsidRPr="00BD1ADE" w:rsidRDefault="00840FE9" w:rsidP="00840FE9">
      <w:pPr>
        <w:jc w:val="both"/>
        <w:rPr>
          <w:rFonts w:ascii="AvenirNext LT Pro Regular" w:hAnsi="AvenirNext LT Pro Regular"/>
          <w:sz w:val="20"/>
          <w:szCs w:val="20"/>
        </w:rPr>
      </w:pPr>
      <w:r w:rsidRPr="00BD1ADE">
        <w:rPr>
          <w:rFonts w:ascii="AvenirNext LT Pro Regular" w:hAnsi="AvenirNext LT Pro Regular"/>
          <w:sz w:val="20"/>
          <w:szCs w:val="20"/>
        </w:rPr>
        <w:t>Fax: 0049-35053-320099</w:t>
      </w:r>
    </w:p>
    <w:p w14:paraId="05EDD6B2" w14:textId="77777777" w:rsidR="00840FE9" w:rsidRPr="00BD1ADE" w:rsidRDefault="004805F2" w:rsidP="00840FE9">
      <w:pPr>
        <w:jc w:val="both"/>
        <w:rPr>
          <w:rStyle w:val="Hyperlink"/>
          <w:rFonts w:ascii="AvenirNext LT Pro Regular" w:hAnsi="AvenirNext LT Pro Regular"/>
          <w:sz w:val="20"/>
          <w:szCs w:val="20"/>
        </w:rPr>
      </w:pPr>
      <w:hyperlink r:id="rId8" w:history="1">
        <w:r w:rsidR="00840FE9" w:rsidRPr="00BD1ADE">
          <w:rPr>
            <w:rStyle w:val="Hyperlink"/>
            <w:rFonts w:ascii="AvenirNext LT Pro Regular" w:hAnsi="AvenirNext LT Pro Regular"/>
            <w:sz w:val="20"/>
            <w:szCs w:val="20"/>
          </w:rPr>
          <w:t>rainer.kern@grossmann-uhren.com</w:t>
        </w:r>
      </w:hyperlink>
    </w:p>
    <w:p w14:paraId="2051473D" w14:textId="4B2AF778" w:rsidR="00623FE5" w:rsidRPr="00BD1ADE" w:rsidRDefault="00623FE5">
      <w:pPr>
        <w:rPr>
          <w:rStyle w:val="Hyperlink"/>
          <w:rFonts w:ascii="AvenirNext LT Pro Regular" w:hAnsi="AvenirNext LT Pro Regular"/>
          <w:sz w:val="20"/>
          <w:szCs w:val="20"/>
        </w:rPr>
      </w:pPr>
    </w:p>
    <w:p w14:paraId="7BAB2BDE" w14:textId="77777777" w:rsidR="00E16693" w:rsidRDefault="00E16693" w:rsidP="00F7720A">
      <w:pPr>
        <w:tabs>
          <w:tab w:val="left" w:pos="7770"/>
        </w:tabs>
        <w:rPr>
          <w:rFonts w:ascii="AvenirNext LT Pro Regular" w:hAnsi="AvenirNext LT Pro Regular"/>
          <w:sz w:val="20"/>
          <w:szCs w:val="20"/>
        </w:rPr>
      </w:pPr>
    </w:p>
    <w:p w14:paraId="7FE77C0D" w14:textId="3B826665" w:rsidR="00623FE5" w:rsidRDefault="00E16693" w:rsidP="00F7720A">
      <w:pPr>
        <w:tabs>
          <w:tab w:val="left" w:pos="7770"/>
        </w:tabs>
        <w:rPr>
          <w:rFonts w:ascii="AvenirNext LT Pro Regular" w:hAnsi="AvenirNext LT Pro Regular"/>
          <w:sz w:val="20"/>
          <w:szCs w:val="20"/>
        </w:rPr>
      </w:pPr>
      <w:r>
        <w:rPr>
          <w:rFonts w:ascii="AvenirNext LT Pro Regular" w:hAnsi="AvenirNext LT Pro Regular"/>
          <w:noProof/>
          <w:sz w:val="20"/>
          <w:szCs w:val="20"/>
        </w:rPr>
        <w:drawing>
          <wp:inline distT="0" distB="0" distL="0" distR="0" wp14:anchorId="0B9644FD" wp14:editId="2DE798D8">
            <wp:extent cx="2520000" cy="336178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BENU_Tourb_FR_1_web.jpg"/>
                    <pic:cNvPicPr/>
                  </pic:nvPicPr>
                  <pic:blipFill>
                    <a:blip r:embed="rId9">
                      <a:extLst>
                        <a:ext uri="{28A0092B-C50C-407E-A947-70E740481C1C}">
                          <a14:useLocalDpi xmlns:a14="http://schemas.microsoft.com/office/drawing/2010/main" val="0"/>
                        </a:ext>
                      </a:extLst>
                    </a:blip>
                    <a:stretch>
                      <a:fillRect/>
                    </a:stretch>
                  </pic:blipFill>
                  <pic:spPr>
                    <a:xfrm>
                      <a:off x="0" y="0"/>
                      <a:ext cx="2520000" cy="3361787"/>
                    </a:xfrm>
                    <a:prstGeom prst="rect">
                      <a:avLst/>
                    </a:prstGeom>
                  </pic:spPr>
                </pic:pic>
              </a:graphicData>
            </a:graphic>
          </wp:inline>
        </w:drawing>
      </w:r>
      <w:r>
        <w:rPr>
          <w:rFonts w:ascii="AvenirNext LT Pro Regular" w:hAnsi="AvenirNext LT Pro Regular"/>
          <w:sz w:val="20"/>
          <w:szCs w:val="20"/>
        </w:rPr>
        <w:t xml:space="preserve">   </w:t>
      </w:r>
      <w:r>
        <w:rPr>
          <w:rFonts w:ascii="AvenirNext LT Pro Regular" w:hAnsi="AvenirNext LT Pro Regular"/>
          <w:noProof/>
          <w:sz w:val="20"/>
          <w:szCs w:val="20"/>
        </w:rPr>
        <w:drawing>
          <wp:inline distT="0" distB="0" distL="0" distR="0" wp14:anchorId="149EF7BA" wp14:editId="12DD7704">
            <wp:extent cx="2520000" cy="336178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BENU_Tourb_FR_2_web.jpg"/>
                    <pic:cNvPicPr/>
                  </pic:nvPicPr>
                  <pic:blipFill>
                    <a:blip r:embed="rId10">
                      <a:extLst>
                        <a:ext uri="{28A0092B-C50C-407E-A947-70E740481C1C}">
                          <a14:useLocalDpi xmlns:a14="http://schemas.microsoft.com/office/drawing/2010/main" val="0"/>
                        </a:ext>
                      </a:extLst>
                    </a:blip>
                    <a:stretch>
                      <a:fillRect/>
                    </a:stretch>
                  </pic:blipFill>
                  <pic:spPr>
                    <a:xfrm>
                      <a:off x="0" y="0"/>
                      <a:ext cx="2520000" cy="3361787"/>
                    </a:xfrm>
                    <a:prstGeom prst="rect">
                      <a:avLst/>
                    </a:prstGeom>
                  </pic:spPr>
                </pic:pic>
              </a:graphicData>
            </a:graphic>
          </wp:inline>
        </w:drawing>
      </w:r>
      <w:r w:rsidR="00F7720A">
        <w:rPr>
          <w:rFonts w:ascii="AvenirNext LT Pro Regular" w:hAnsi="AvenirNext LT Pro Regular"/>
          <w:sz w:val="20"/>
          <w:szCs w:val="20"/>
        </w:rPr>
        <w:tab/>
      </w:r>
    </w:p>
    <w:p w14:paraId="552B9471" w14:textId="2238169D" w:rsidR="00E16693" w:rsidRDefault="00E16693" w:rsidP="00E16693">
      <w:pPr>
        <w:tabs>
          <w:tab w:val="center" w:pos="1985"/>
          <w:tab w:val="center" w:pos="6096"/>
        </w:tabs>
        <w:rPr>
          <w:rFonts w:ascii="AvenirNext LT Pro Regular" w:hAnsi="AvenirNext LT Pro Regular"/>
          <w:sz w:val="20"/>
          <w:szCs w:val="20"/>
        </w:rPr>
      </w:pPr>
      <w:r>
        <w:rPr>
          <w:rFonts w:ascii="AvenirNext LT Pro Regular" w:hAnsi="AvenirNext LT Pro Regular"/>
          <w:sz w:val="20"/>
          <w:szCs w:val="20"/>
        </w:rPr>
        <w:tab/>
        <w:t xml:space="preserve">BENU </w:t>
      </w:r>
      <w:proofErr w:type="spellStart"/>
      <w:r>
        <w:rPr>
          <w:rFonts w:ascii="AvenirNext LT Pro Regular" w:hAnsi="AvenirNext LT Pro Regular"/>
          <w:sz w:val="20"/>
          <w:szCs w:val="20"/>
        </w:rPr>
        <w:t>Tourbillon</w:t>
      </w:r>
      <w:proofErr w:type="spellEnd"/>
      <w:r>
        <w:rPr>
          <w:rFonts w:ascii="AvenirNext LT Pro Regular" w:hAnsi="AvenirNext LT Pro Regular"/>
          <w:sz w:val="20"/>
          <w:szCs w:val="20"/>
        </w:rPr>
        <w:t xml:space="preserve">  </w:t>
      </w:r>
      <w:r>
        <w:rPr>
          <w:rFonts w:ascii="AvenirNext LT Pro Regular" w:hAnsi="AvenirNext LT Pro Regular"/>
          <w:sz w:val="20"/>
          <w:szCs w:val="20"/>
        </w:rPr>
        <w:tab/>
        <w:t xml:space="preserve">BENU </w:t>
      </w:r>
      <w:proofErr w:type="spellStart"/>
      <w:r>
        <w:rPr>
          <w:rFonts w:ascii="AvenirNext LT Pro Regular" w:hAnsi="AvenirNext LT Pro Regular"/>
          <w:sz w:val="20"/>
          <w:szCs w:val="20"/>
        </w:rPr>
        <w:t>Tourbillon</w:t>
      </w:r>
      <w:proofErr w:type="spellEnd"/>
      <w:r>
        <w:rPr>
          <w:rFonts w:ascii="AvenirNext LT Pro Regular" w:hAnsi="AvenirNext LT Pro Regular"/>
          <w:sz w:val="20"/>
          <w:szCs w:val="20"/>
        </w:rPr>
        <w:br/>
      </w:r>
      <w:r>
        <w:rPr>
          <w:rFonts w:ascii="AvenirNext LT Pro Regular" w:hAnsi="AvenirNext LT Pro Regular"/>
          <w:sz w:val="20"/>
          <w:szCs w:val="20"/>
        </w:rPr>
        <w:tab/>
        <w:t xml:space="preserve">mit dem </w:t>
      </w:r>
      <w:r w:rsidR="006210CF">
        <w:rPr>
          <w:rFonts w:ascii="AvenirNext LT Pro Regular" w:hAnsi="AvenirNext LT Pro Regular"/>
          <w:sz w:val="20"/>
          <w:szCs w:val="20"/>
        </w:rPr>
        <w:t>Zeigerfortsatz</w:t>
      </w:r>
      <w:r>
        <w:rPr>
          <w:rFonts w:ascii="AvenirNext LT Pro Regular" w:hAnsi="AvenirNext LT Pro Regular"/>
          <w:sz w:val="20"/>
          <w:szCs w:val="20"/>
        </w:rPr>
        <w:t xml:space="preserve"> </w:t>
      </w:r>
      <w:r>
        <w:rPr>
          <w:rFonts w:ascii="AvenirNext LT Pro Regular" w:hAnsi="AvenirNext LT Pro Regular"/>
          <w:sz w:val="20"/>
          <w:szCs w:val="20"/>
        </w:rPr>
        <w:tab/>
        <w:t xml:space="preserve">mit dem Zeigerfortsatz </w:t>
      </w:r>
      <w:r>
        <w:rPr>
          <w:rFonts w:ascii="AvenirNext LT Pro Regular" w:hAnsi="AvenirNext LT Pro Regular"/>
          <w:sz w:val="20"/>
          <w:szCs w:val="20"/>
        </w:rPr>
        <w:br/>
      </w:r>
      <w:r>
        <w:rPr>
          <w:rFonts w:ascii="AvenirNext LT Pro Regular" w:hAnsi="AvenirNext LT Pro Regular"/>
          <w:sz w:val="20"/>
          <w:szCs w:val="20"/>
        </w:rPr>
        <w:tab/>
      </w:r>
      <w:r w:rsidR="00EB3615">
        <w:rPr>
          <w:rFonts w:ascii="AvenirNext LT Pro Regular" w:hAnsi="AvenirNext LT Pro Regular"/>
          <w:sz w:val="20"/>
          <w:szCs w:val="20"/>
        </w:rPr>
        <w:t>außerhalb der zweiten Skale</w:t>
      </w:r>
      <w:r>
        <w:rPr>
          <w:rFonts w:ascii="AvenirNext LT Pro Regular" w:hAnsi="AvenirNext LT Pro Regular"/>
          <w:sz w:val="20"/>
          <w:szCs w:val="20"/>
        </w:rPr>
        <w:tab/>
        <w:t>in</w:t>
      </w:r>
      <w:r w:rsidR="006210CF">
        <w:rPr>
          <w:rFonts w:ascii="AvenirNext LT Pro Regular" w:hAnsi="AvenirNext LT Pro Regular"/>
          <w:sz w:val="20"/>
          <w:szCs w:val="20"/>
        </w:rPr>
        <w:t>nerhalb</w:t>
      </w:r>
      <w:r>
        <w:rPr>
          <w:rFonts w:ascii="AvenirNext LT Pro Regular" w:hAnsi="AvenirNext LT Pro Regular"/>
          <w:sz w:val="20"/>
          <w:szCs w:val="20"/>
        </w:rPr>
        <w:t xml:space="preserve"> der zweiten Skale</w:t>
      </w:r>
    </w:p>
    <w:p w14:paraId="74B3CE10" w14:textId="77777777" w:rsidR="009A5DAD" w:rsidRDefault="009A5DAD" w:rsidP="00E16693">
      <w:pPr>
        <w:tabs>
          <w:tab w:val="center" w:pos="1985"/>
          <w:tab w:val="center" w:pos="6096"/>
        </w:tabs>
        <w:rPr>
          <w:rFonts w:ascii="AvenirNext LT Pro Regular" w:hAnsi="AvenirNext LT Pro Regular"/>
          <w:sz w:val="20"/>
          <w:szCs w:val="20"/>
        </w:rPr>
      </w:pPr>
    </w:p>
    <w:p w14:paraId="65457AE7" w14:textId="77777777" w:rsidR="009A5DAD" w:rsidRDefault="009A5DAD" w:rsidP="00E16693">
      <w:pPr>
        <w:tabs>
          <w:tab w:val="center" w:pos="1985"/>
          <w:tab w:val="center" w:pos="6096"/>
        </w:tabs>
        <w:rPr>
          <w:rFonts w:ascii="AvenirNext LT Pro Regular" w:hAnsi="AvenirNext LT Pro Regular"/>
          <w:sz w:val="20"/>
          <w:szCs w:val="20"/>
        </w:rPr>
      </w:pPr>
    </w:p>
    <w:p w14:paraId="3588EEEC" w14:textId="77777777" w:rsidR="009A5DAD" w:rsidRDefault="009A5DAD" w:rsidP="00E16693">
      <w:pPr>
        <w:tabs>
          <w:tab w:val="center" w:pos="1985"/>
          <w:tab w:val="center" w:pos="6096"/>
        </w:tabs>
        <w:rPr>
          <w:rFonts w:ascii="AvenirNext LT Pro Regular" w:hAnsi="AvenirNext LT Pro Regular"/>
          <w:sz w:val="20"/>
          <w:szCs w:val="20"/>
        </w:rPr>
      </w:pPr>
    </w:p>
    <w:p w14:paraId="6142A900" w14:textId="063A20F7" w:rsidR="009A5DAD" w:rsidRPr="00F7720A" w:rsidRDefault="009A5DAD" w:rsidP="009A5DAD">
      <w:pPr>
        <w:tabs>
          <w:tab w:val="center" w:pos="1985"/>
          <w:tab w:val="center" w:pos="6096"/>
        </w:tabs>
        <w:jc w:val="center"/>
        <w:rPr>
          <w:rFonts w:ascii="AvenirNext LT Pro Regular" w:hAnsi="AvenirNext LT Pro Regular"/>
          <w:sz w:val="20"/>
          <w:szCs w:val="20"/>
        </w:rPr>
      </w:pPr>
      <w:bookmarkStart w:id="0" w:name="_GoBack"/>
      <w:r>
        <w:rPr>
          <w:rFonts w:ascii="AvenirNext LT Pro Regular" w:hAnsi="AvenirNext LT Pro Regular"/>
          <w:noProof/>
          <w:sz w:val="20"/>
          <w:szCs w:val="20"/>
        </w:rPr>
        <w:drawing>
          <wp:inline distT="0" distB="0" distL="0" distR="0" wp14:anchorId="7F0F5B19" wp14:editId="51819EBE">
            <wp:extent cx="2159033" cy="10800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ropean-patent-office.jpg"/>
                    <pic:cNvPicPr/>
                  </pic:nvPicPr>
                  <pic:blipFill>
                    <a:blip r:embed="rId11">
                      <a:extLst>
                        <a:ext uri="{28A0092B-C50C-407E-A947-70E740481C1C}">
                          <a14:useLocalDpi xmlns:a14="http://schemas.microsoft.com/office/drawing/2010/main" val="0"/>
                        </a:ext>
                      </a:extLst>
                    </a:blip>
                    <a:stretch>
                      <a:fillRect/>
                    </a:stretch>
                  </pic:blipFill>
                  <pic:spPr>
                    <a:xfrm>
                      <a:off x="0" y="0"/>
                      <a:ext cx="2159033" cy="1080000"/>
                    </a:xfrm>
                    <a:prstGeom prst="rect">
                      <a:avLst/>
                    </a:prstGeom>
                  </pic:spPr>
                </pic:pic>
              </a:graphicData>
            </a:graphic>
          </wp:inline>
        </w:drawing>
      </w:r>
      <w:bookmarkEnd w:id="0"/>
    </w:p>
    <w:sectPr w:rsidR="009A5DAD" w:rsidRPr="00F7720A" w:rsidSect="00954314">
      <w:headerReference w:type="default" r:id="rId12"/>
      <w:footerReference w:type="default" r:id="rId13"/>
      <w:headerReference w:type="first" r:id="rId14"/>
      <w:footerReference w:type="first" r:id="rId15"/>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F4E8C" w14:textId="4E38FF6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E16693">
                            <w:rPr>
                              <w:rFonts w:ascii="Arial" w:hAnsi="Arial" w:cs="Arial"/>
                              <w:color w:val="595959"/>
                              <w:sz w:val="16"/>
                            </w:rPr>
                            <w:t xml:space="preserve">EU Patent </w:t>
                          </w:r>
                          <w:r w:rsidR="00E16693" w:rsidRPr="00E16693">
                            <w:rPr>
                              <w:rFonts w:ascii="Arial" w:hAnsi="Arial" w:cs="Arial"/>
                              <w:color w:val="595959"/>
                              <w:sz w:val="16"/>
                            </w:rPr>
                            <w:t>2874021</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805F2" w:rsidRPr="004805F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805F2" w:rsidRPr="004805F2">
                            <w:rPr>
                              <w:rFonts w:ascii="Arial" w:hAnsi="Arial" w:cs="Arial"/>
                              <w:noProof/>
                              <w:color w:val="595959"/>
                              <w:sz w:val="16"/>
                            </w:rPr>
                            <w:t>2</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4E38FF6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E16693">
                      <w:rPr>
                        <w:rFonts w:ascii="Arial" w:hAnsi="Arial" w:cs="Arial"/>
                        <w:color w:val="595959"/>
                        <w:sz w:val="16"/>
                      </w:rPr>
                      <w:t xml:space="preserve">EU Patent </w:t>
                    </w:r>
                    <w:r w:rsidR="00E16693" w:rsidRPr="00E16693">
                      <w:rPr>
                        <w:rFonts w:ascii="Arial" w:hAnsi="Arial" w:cs="Arial"/>
                        <w:color w:val="595959"/>
                        <w:sz w:val="16"/>
                      </w:rPr>
                      <w:t>2874021</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805F2" w:rsidRPr="004805F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805F2" w:rsidRPr="004805F2">
                      <w:rPr>
                        <w:rFonts w:ascii="Arial" w:hAnsi="Arial" w:cs="Arial"/>
                        <w:noProof/>
                        <w:color w:val="595959"/>
                        <w:sz w:val="16"/>
                      </w:rPr>
                      <w:t>2</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D0316"/>
    <w:rsid w:val="001D0895"/>
    <w:rsid w:val="001F33E9"/>
    <w:rsid w:val="00207173"/>
    <w:rsid w:val="00213E27"/>
    <w:rsid w:val="00215433"/>
    <w:rsid w:val="00224DFD"/>
    <w:rsid w:val="00231305"/>
    <w:rsid w:val="00233949"/>
    <w:rsid w:val="002345BF"/>
    <w:rsid w:val="00236932"/>
    <w:rsid w:val="00242F49"/>
    <w:rsid w:val="0025287D"/>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805F2"/>
    <w:rsid w:val="0049362F"/>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96884"/>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10CF"/>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866E8"/>
    <w:rsid w:val="009A576D"/>
    <w:rsid w:val="009A5DAD"/>
    <w:rsid w:val="009A72A1"/>
    <w:rsid w:val="009B4947"/>
    <w:rsid w:val="009C465A"/>
    <w:rsid w:val="009C4FA3"/>
    <w:rsid w:val="009C677B"/>
    <w:rsid w:val="009C6BFD"/>
    <w:rsid w:val="009D3BBE"/>
    <w:rsid w:val="009D3CFB"/>
    <w:rsid w:val="009D449C"/>
    <w:rsid w:val="009D62BF"/>
    <w:rsid w:val="009E4331"/>
    <w:rsid w:val="009E79D3"/>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D1ADE"/>
    <w:rsid w:val="00BE29F8"/>
    <w:rsid w:val="00BE70D1"/>
    <w:rsid w:val="00C07C29"/>
    <w:rsid w:val="00C12014"/>
    <w:rsid w:val="00C12596"/>
    <w:rsid w:val="00C21245"/>
    <w:rsid w:val="00C3044F"/>
    <w:rsid w:val="00C31849"/>
    <w:rsid w:val="00C35F4E"/>
    <w:rsid w:val="00C40087"/>
    <w:rsid w:val="00C41F97"/>
    <w:rsid w:val="00C46764"/>
    <w:rsid w:val="00C478DA"/>
    <w:rsid w:val="00C61CC1"/>
    <w:rsid w:val="00C647CF"/>
    <w:rsid w:val="00C674AE"/>
    <w:rsid w:val="00C67AFA"/>
    <w:rsid w:val="00C7215C"/>
    <w:rsid w:val="00C74F2C"/>
    <w:rsid w:val="00C81F62"/>
    <w:rsid w:val="00C8402F"/>
    <w:rsid w:val="00CB3FA7"/>
    <w:rsid w:val="00CD15EA"/>
    <w:rsid w:val="00CD653C"/>
    <w:rsid w:val="00D03A70"/>
    <w:rsid w:val="00D045E3"/>
    <w:rsid w:val="00D2080A"/>
    <w:rsid w:val="00D23FB2"/>
    <w:rsid w:val="00D27AD9"/>
    <w:rsid w:val="00D31CBA"/>
    <w:rsid w:val="00D34708"/>
    <w:rsid w:val="00D36EF2"/>
    <w:rsid w:val="00D44DDA"/>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1D"/>
    <w:rsid w:val="00E1285B"/>
    <w:rsid w:val="00E16693"/>
    <w:rsid w:val="00E24F14"/>
    <w:rsid w:val="00E32CA7"/>
    <w:rsid w:val="00E36402"/>
    <w:rsid w:val="00E45176"/>
    <w:rsid w:val="00E61260"/>
    <w:rsid w:val="00E628FB"/>
    <w:rsid w:val="00E659DD"/>
    <w:rsid w:val="00E66027"/>
    <w:rsid w:val="00E853F6"/>
    <w:rsid w:val="00EA1A4C"/>
    <w:rsid w:val="00EA2333"/>
    <w:rsid w:val="00EB3615"/>
    <w:rsid w:val="00EB473F"/>
    <w:rsid w:val="00EE0877"/>
    <w:rsid w:val="00EE088E"/>
    <w:rsid w:val="00EE0B00"/>
    <w:rsid w:val="00EE2488"/>
    <w:rsid w:val="00EE3FF1"/>
    <w:rsid w:val="00EE44AE"/>
    <w:rsid w:val="00EF75C2"/>
    <w:rsid w:val="00F073F3"/>
    <w:rsid w:val="00F10762"/>
    <w:rsid w:val="00F31B4D"/>
    <w:rsid w:val="00F3328B"/>
    <w:rsid w:val="00F358BE"/>
    <w:rsid w:val="00F57303"/>
    <w:rsid w:val="00F57AE1"/>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2742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4</cp:revision>
  <cp:lastPrinted>2018-02-22T08:20:00Z</cp:lastPrinted>
  <dcterms:created xsi:type="dcterms:W3CDTF">2018-02-15T11:26:00Z</dcterms:created>
  <dcterms:modified xsi:type="dcterms:W3CDTF">2018-02-22T08:20:00Z</dcterms:modified>
</cp:coreProperties>
</file>